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EAE" w:rsidRPr="00561E1C" w:rsidRDefault="00A86670" w:rsidP="00A86670">
      <w:pPr>
        <w:spacing w:after="120" w:line="192" w:lineRule="auto"/>
        <w:rPr>
          <w:rFonts w:ascii="Calibri" w:hAnsi="Calibri"/>
          <w:color w:val="808080" w:themeColor="background1" w:themeShade="80"/>
          <w:sz w:val="28"/>
        </w:rPr>
      </w:pPr>
      <w:r w:rsidRPr="00561E1C">
        <w:rPr>
          <w:rFonts w:ascii="Calibri" w:hAnsi="Calibri"/>
          <w:color w:val="808080" w:themeColor="background1" w:themeShade="80"/>
          <w:sz w:val="28"/>
        </w:rPr>
        <w:t xml:space="preserve">TENNANT COMPANY </w:t>
      </w:r>
    </w:p>
    <w:p w:rsidR="003A75B6" w:rsidRPr="000E6E69" w:rsidRDefault="00894B60" w:rsidP="000E6E69">
      <w:pPr>
        <w:spacing w:after="600" w:line="168" w:lineRule="auto"/>
        <w:rPr>
          <w:rFonts w:ascii="Calibri" w:hAnsi="Calibri"/>
          <w:b/>
          <w:color w:val="009AC7"/>
          <w:sz w:val="72"/>
          <w:szCs w:val="120"/>
        </w:rPr>
      </w:pPr>
      <w:r>
        <w:rPr>
          <w:rFonts w:ascii="Calibri" w:hAnsi="Calibri"/>
          <w:b/>
          <w:color w:val="009AC7"/>
          <w:sz w:val="72"/>
          <w:szCs w:val="120"/>
        </w:rPr>
        <w:t>AT&amp;T SIM Card Supply</w:t>
      </w:r>
    </w:p>
    <w:p w:rsidR="006A01AA" w:rsidRPr="006A01AA" w:rsidRDefault="006A01AA" w:rsidP="006A01AA">
      <w:pPr>
        <w:pStyle w:val="ListParagraph"/>
        <w:spacing w:after="200" w:line="276" w:lineRule="auto"/>
        <w:rPr>
          <w:rFonts w:eastAsia="Calibri"/>
        </w:rPr>
      </w:pPr>
    </w:p>
    <w:p w:rsidR="00277D01" w:rsidRPr="00277D01" w:rsidRDefault="002A656C" w:rsidP="00277D01">
      <w:pPr>
        <w:pStyle w:val="ListParagraph"/>
        <w:numPr>
          <w:ilvl w:val="0"/>
          <w:numId w:val="29"/>
        </w:num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t>Summary</w:t>
      </w:r>
    </w:p>
    <w:p w:rsidR="00151F11" w:rsidRDefault="002A656C" w:rsidP="008225AC">
      <w:pPr>
        <w:pStyle w:val="ListParagraph"/>
        <w:numPr>
          <w:ilvl w:val="1"/>
          <w:numId w:val="29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Tenn</w:t>
      </w:r>
      <w:r w:rsidR="002004CC">
        <w:rPr>
          <w:rFonts w:eastAsia="Calibri"/>
        </w:rPr>
        <w:t>a</w:t>
      </w:r>
      <w:r>
        <w:rPr>
          <w:rFonts w:eastAsia="Calibri"/>
        </w:rPr>
        <w:t xml:space="preserve">nt connected services “Hercules” platform, integrates AT&amp;Ts Control Center (Jasper) with a standard Global AT&amp;T SIM Card.  Supply chain integration and implementation of Tennant’s “Hercules” platform is </w:t>
      </w:r>
      <w:r w:rsidR="004F4698">
        <w:rPr>
          <w:rFonts w:eastAsia="Calibri"/>
        </w:rPr>
        <w:t>detailed in this w</w:t>
      </w:r>
      <w:r>
        <w:rPr>
          <w:rFonts w:eastAsia="Calibri"/>
        </w:rPr>
        <w:t>ork instruction</w:t>
      </w:r>
      <w:r w:rsidR="004F4698">
        <w:rPr>
          <w:rFonts w:eastAsia="Calibri"/>
        </w:rPr>
        <w:t xml:space="preserve"> document.</w:t>
      </w:r>
      <w:r w:rsidR="00151F11">
        <w:rPr>
          <w:rFonts w:eastAsia="Calibri"/>
        </w:rPr>
        <w:t xml:space="preserve"> </w:t>
      </w:r>
    </w:p>
    <w:p w:rsidR="004F4698" w:rsidRDefault="004F4698" w:rsidP="004F4698">
      <w:pPr>
        <w:pStyle w:val="ListParagraph"/>
        <w:spacing w:after="200" w:line="276" w:lineRule="auto"/>
        <w:ind w:left="792"/>
        <w:rPr>
          <w:rFonts w:eastAsia="Calibri"/>
        </w:rPr>
      </w:pPr>
    </w:p>
    <w:p w:rsidR="004F4698" w:rsidRPr="00894B60" w:rsidRDefault="004F4698" w:rsidP="004F4698">
      <w:pPr>
        <w:pStyle w:val="ListParagraph"/>
        <w:numPr>
          <w:ilvl w:val="0"/>
          <w:numId w:val="29"/>
        </w:numPr>
        <w:spacing w:after="200" w:line="276" w:lineRule="auto"/>
        <w:rPr>
          <w:rFonts w:eastAsia="Calibri"/>
          <w:b/>
        </w:rPr>
      </w:pPr>
      <w:r w:rsidRPr="00894B60">
        <w:rPr>
          <w:rFonts w:eastAsia="Calibri"/>
          <w:b/>
        </w:rPr>
        <w:t>Specifications</w:t>
      </w:r>
    </w:p>
    <w:p w:rsidR="004F4698" w:rsidRDefault="004F4698" w:rsidP="004F4698">
      <w:pPr>
        <w:pStyle w:val="ListParagraph"/>
        <w:numPr>
          <w:ilvl w:val="1"/>
          <w:numId w:val="29"/>
        </w:numPr>
        <w:rPr>
          <w:rFonts w:eastAsia="Calibri"/>
        </w:rPr>
      </w:pPr>
      <w:r w:rsidRPr="004F4698">
        <w:rPr>
          <w:rFonts w:eastAsia="Calibri"/>
        </w:rPr>
        <w:t>Tennant PN 1253285:  Global SIM – Telemetry (IRIS) Controlle</w:t>
      </w:r>
      <w:r>
        <w:rPr>
          <w:rFonts w:eastAsia="Calibri"/>
        </w:rPr>
        <w:t>r</w:t>
      </w:r>
    </w:p>
    <w:p w:rsidR="004F4698" w:rsidRDefault="002A656C" w:rsidP="004F4698">
      <w:pPr>
        <w:pStyle w:val="ListParagraph"/>
        <w:numPr>
          <w:ilvl w:val="1"/>
          <w:numId w:val="29"/>
        </w:numPr>
        <w:rPr>
          <w:rFonts w:eastAsia="Calibri"/>
        </w:rPr>
      </w:pPr>
      <w:r w:rsidRPr="004F4698">
        <w:rPr>
          <w:rFonts w:eastAsia="Calibri"/>
        </w:rPr>
        <w:t xml:space="preserve">AT&amp;T 3FF-310-030, 3FF </w:t>
      </w:r>
      <w:proofErr w:type="spellStart"/>
      <w:r w:rsidRPr="004F4698">
        <w:rPr>
          <w:rFonts w:eastAsia="Calibri"/>
        </w:rPr>
        <w:t>Microsim</w:t>
      </w:r>
      <w:proofErr w:type="spellEnd"/>
      <w:r w:rsidRPr="004F4698">
        <w:rPr>
          <w:rFonts w:eastAsia="Calibri"/>
        </w:rPr>
        <w:t xml:space="preserve">, LTE-M </w:t>
      </w:r>
    </w:p>
    <w:p w:rsidR="004F4698" w:rsidRDefault="002A656C" w:rsidP="004F4698">
      <w:pPr>
        <w:pStyle w:val="ListParagraph"/>
        <w:numPr>
          <w:ilvl w:val="1"/>
          <w:numId w:val="29"/>
        </w:numPr>
        <w:rPr>
          <w:rFonts w:eastAsia="Calibri"/>
        </w:rPr>
      </w:pPr>
      <w:r w:rsidRPr="004F4698">
        <w:rPr>
          <w:rFonts w:eastAsia="Calibri"/>
        </w:rPr>
        <w:t xml:space="preserve">Tennant PN </w:t>
      </w:r>
      <w:r w:rsidR="00FC2799">
        <w:rPr>
          <w:rFonts w:eastAsia="Calibri"/>
        </w:rPr>
        <w:t>1261317 &amp; 1256676</w:t>
      </w:r>
      <w:r w:rsidRPr="004F4698">
        <w:rPr>
          <w:rFonts w:eastAsia="Calibri"/>
        </w:rPr>
        <w:t>:  Telemetry (IRIS) Control PCBA</w:t>
      </w:r>
    </w:p>
    <w:p w:rsidR="004F4698" w:rsidRDefault="002A656C" w:rsidP="004F4698">
      <w:pPr>
        <w:pStyle w:val="ListParagraph"/>
        <w:numPr>
          <w:ilvl w:val="1"/>
          <w:numId w:val="29"/>
        </w:numPr>
        <w:rPr>
          <w:rFonts w:eastAsia="Calibri"/>
        </w:rPr>
      </w:pPr>
      <w:r w:rsidRPr="004F4698">
        <w:rPr>
          <w:rFonts w:eastAsia="Calibri"/>
        </w:rPr>
        <w:t xml:space="preserve">Control Center </w:t>
      </w:r>
      <w:hyperlink r:id="rId11" w:history="1">
        <w:r w:rsidR="004F4698" w:rsidRPr="0007634A">
          <w:rPr>
            <w:rStyle w:val="Hyperlink"/>
            <w:rFonts w:eastAsia="Calibri"/>
          </w:rPr>
          <w:t>https://simcontrolcenter.wireless.att.com/provision/ui/m2mhome/m2mhome.html</w:t>
        </w:r>
      </w:hyperlink>
      <w:r w:rsidR="000F0E84" w:rsidRPr="004F4698">
        <w:rPr>
          <w:rFonts w:eastAsia="Calibri"/>
        </w:rPr>
        <w:t xml:space="preserve"> </w:t>
      </w:r>
    </w:p>
    <w:p w:rsidR="00894B60" w:rsidRDefault="00894B60" w:rsidP="00894B60">
      <w:pPr>
        <w:pStyle w:val="ListParagraph"/>
        <w:ind w:left="792"/>
        <w:rPr>
          <w:rFonts w:eastAsia="Calibri"/>
        </w:rPr>
      </w:pPr>
    </w:p>
    <w:p w:rsidR="00C059F7" w:rsidRPr="00894B60" w:rsidRDefault="004F4698" w:rsidP="00C059F7">
      <w:pPr>
        <w:pStyle w:val="ListParagraph"/>
        <w:numPr>
          <w:ilvl w:val="0"/>
          <w:numId w:val="29"/>
        </w:numPr>
        <w:spacing w:after="200" w:line="276" w:lineRule="auto"/>
        <w:rPr>
          <w:rFonts w:eastAsia="Calibri"/>
          <w:b/>
        </w:rPr>
      </w:pPr>
      <w:r w:rsidRPr="00894B60">
        <w:rPr>
          <w:rFonts w:eastAsia="Calibri"/>
          <w:b/>
        </w:rPr>
        <w:t>Work Instructions</w:t>
      </w:r>
      <w:r w:rsidR="00C059F7" w:rsidRPr="00894B60">
        <w:rPr>
          <w:rFonts w:eastAsia="Calibri"/>
          <w:b/>
        </w:rPr>
        <w:t xml:space="preserve"> -</w:t>
      </w:r>
      <w:proofErr w:type="spellStart"/>
      <w:r w:rsidR="00FC2799">
        <w:rPr>
          <w:rFonts w:eastAsia="Calibri"/>
          <w:b/>
        </w:rPr>
        <w:t>Prodrive</w:t>
      </w:r>
      <w:proofErr w:type="spellEnd"/>
    </w:p>
    <w:p w:rsidR="00C059F7" w:rsidRDefault="00C059F7" w:rsidP="004F4698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Supply </w:t>
      </w:r>
      <w:r w:rsidR="004F4698" w:rsidRPr="004F4698">
        <w:rPr>
          <w:rFonts w:eastAsia="Calibri"/>
        </w:rPr>
        <w:t>Tennant</w:t>
      </w:r>
      <w:r w:rsidR="004F4698">
        <w:rPr>
          <w:rFonts w:eastAsia="Calibri"/>
        </w:rPr>
        <w:t xml:space="preserve"> PN </w:t>
      </w:r>
      <w:r w:rsidR="00FC2799">
        <w:rPr>
          <w:rFonts w:eastAsia="Calibri"/>
        </w:rPr>
        <w:t>1261317&amp; 1256676</w:t>
      </w:r>
      <w:r w:rsidR="004F4698">
        <w:rPr>
          <w:rFonts w:eastAsia="Calibri"/>
        </w:rPr>
        <w:t xml:space="preserve"> as a complete assembly, </w:t>
      </w:r>
      <w:r>
        <w:rPr>
          <w:rFonts w:eastAsia="Calibri"/>
        </w:rPr>
        <w:t>with</w:t>
      </w:r>
      <w:r w:rsidR="004F4698">
        <w:rPr>
          <w:rFonts w:eastAsia="Calibri"/>
        </w:rPr>
        <w:t xml:space="preserve"> Tennant </w:t>
      </w:r>
      <w:r w:rsidR="004F4698" w:rsidRPr="004F4698">
        <w:rPr>
          <w:rFonts w:eastAsia="Calibri"/>
        </w:rPr>
        <w:t>PN 1253285</w:t>
      </w:r>
      <w:r w:rsidR="004F4698">
        <w:rPr>
          <w:rFonts w:eastAsia="Calibri"/>
        </w:rPr>
        <w:t xml:space="preserve"> installed.</w:t>
      </w:r>
      <w:r>
        <w:rPr>
          <w:rFonts w:eastAsia="Calibri"/>
        </w:rPr>
        <w:t xml:space="preserve">  </w:t>
      </w:r>
    </w:p>
    <w:p w:rsidR="00C059F7" w:rsidRDefault="00C059F7" w:rsidP="004F4698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SIM card purchased by </w:t>
      </w:r>
      <w:proofErr w:type="spellStart"/>
      <w:r w:rsidR="00FC2799">
        <w:rPr>
          <w:rFonts w:eastAsia="Calibri"/>
        </w:rPr>
        <w:t>Prodrive</w:t>
      </w:r>
      <w:proofErr w:type="spellEnd"/>
      <w:r>
        <w:rPr>
          <w:rFonts w:eastAsia="Calibri"/>
        </w:rPr>
        <w:t xml:space="preserve"> through Tennant’s AT&amp;T portal.</w:t>
      </w:r>
    </w:p>
    <w:p w:rsidR="00C059F7" w:rsidRDefault="00C059F7" w:rsidP="004F4698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Initial lead time provided to Tennant by AT&amp;T is 2weeks.  </w:t>
      </w:r>
      <w:proofErr w:type="spellStart"/>
      <w:r w:rsidR="00FC2799">
        <w:rPr>
          <w:rFonts w:eastAsia="Calibri"/>
        </w:rPr>
        <w:t>Prodrive</w:t>
      </w:r>
      <w:proofErr w:type="spellEnd"/>
      <w:r w:rsidR="00FF4A40">
        <w:rPr>
          <w:rFonts w:eastAsia="Calibri"/>
        </w:rPr>
        <w:t xml:space="preserve"> should apply standard </w:t>
      </w:r>
      <w:r>
        <w:rPr>
          <w:rFonts w:eastAsia="Calibri"/>
        </w:rPr>
        <w:t xml:space="preserve">inventory </w:t>
      </w:r>
      <w:r w:rsidR="00FF4A40">
        <w:rPr>
          <w:rFonts w:eastAsia="Calibri"/>
        </w:rPr>
        <w:t xml:space="preserve">management procedures per Tennant / </w:t>
      </w:r>
      <w:proofErr w:type="spellStart"/>
      <w:r w:rsidR="00FC2799">
        <w:rPr>
          <w:rFonts w:eastAsia="Calibri"/>
        </w:rPr>
        <w:t>Prodrive</w:t>
      </w:r>
      <w:proofErr w:type="spellEnd"/>
      <w:r w:rsidR="00FF4A40">
        <w:rPr>
          <w:rFonts w:eastAsia="Calibri"/>
        </w:rPr>
        <w:t xml:space="preserve"> MSA.</w:t>
      </w:r>
    </w:p>
    <w:p w:rsidR="00C059F7" w:rsidRDefault="00C059F7" w:rsidP="004F4698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>SIM card will arrive at</w:t>
      </w:r>
      <w:r w:rsidR="00FC2799">
        <w:rPr>
          <w:rFonts w:eastAsia="Calibri"/>
        </w:rPr>
        <w:t xml:space="preserve"> </w:t>
      </w:r>
      <w:proofErr w:type="spellStart"/>
      <w:r w:rsidR="00FC2799">
        <w:rPr>
          <w:rFonts w:eastAsia="Calibri"/>
        </w:rPr>
        <w:t>Prodrive</w:t>
      </w:r>
      <w:proofErr w:type="spellEnd"/>
      <w:r>
        <w:rPr>
          <w:rFonts w:eastAsia="Calibri"/>
        </w:rPr>
        <w:t xml:space="preserve"> in “not active” status.  </w:t>
      </w:r>
    </w:p>
    <w:p w:rsidR="00C059F7" w:rsidRDefault="00FC2799" w:rsidP="004F4698">
      <w:pPr>
        <w:pStyle w:val="ListParagraph"/>
        <w:numPr>
          <w:ilvl w:val="1"/>
          <w:numId w:val="29"/>
        </w:numPr>
        <w:rPr>
          <w:rFonts w:eastAsia="Calibri"/>
        </w:rPr>
      </w:pPr>
      <w:proofErr w:type="spellStart"/>
      <w:r>
        <w:rPr>
          <w:rFonts w:eastAsia="Calibri"/>
        </w:rPr>
        <w:t>Prodrive</w:t>
      </w:r>
      <w:proofErr w:type="spellEnd"/>
      <w:r w:rsidR="00C059F7">
        <w:rPr>
          <w:rFonts w:eastAsia="Calibri"/>
        </w:rPr>
        <w:t xml:space="preserve"> is not responsible to verify or change SIM card status</w:t>
      </w:r>
    </w:p>
    <w:p w:rsidR="00894B60" w:rsidRDefault="00894B60" w:rsidP="00894B60">
      <w:pPr>
        <w:pStyle w:val="ListParagraph"/>
        <w:ind w:left="792"/>
        <w:rPr>
          <w:rFonts w:eastAsia="Calibri"/>
        </w:rPr>
      </w:pPr>
    </w:p>
    <w:p w:rsidR="00FF4A40" w:rsidRPr="00894B60" w:rsidRDefault="00FF4A40" w:rsidP="00FF4A40">
      <w:pPr>
        <w:pStyle w:val="ListParagraph"/>
        <w:numPr>
          <w:ilvl w:val="0"/>
          <w:numId w:val="29"/>
        </w:numPr>
        <w:spacing w:after="200" w:line="276" w:lineRule="auto"/>
        <w:rPr>
          <w:rFonts w:eastAsia="Calibri"/>
          <w:b/>
        </w:rPr>
      </w:pPr>
      <w:r w:rsidRPr="00894B60">
        <w:rPr>
          <w:rFonts w:eastAsia="Calibri"/>
          <w:b/>
        </w:rPr>
        <w:t>Work Instructions -Tennant</w:t>
      </w:r>
    </w:p>
    <w:p w:rsidR="00894B60" w:rsidRDefault="00894B60" w:rsidP="00FF4A40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Responsible to set up and provide </w:t>
      </w:r>
      <w:proofErr w:type="spellStart"/>
      <w:r w:rsidR="00FC2799">
        <w:rPr>
          <w:rFonts w:eastAsia="Calibri"/>
        </w:rPr>
        <w:t>Prodrive</w:t>
      </w:r>
      <w:proofErr w:type="spellEnd"/>
      <w:r>
        <w:rPr>
          <w:rFonts w:eastAsia="Calibri"/>
        </w:rPr>
        <w:t xml:space="preserve"> portal information and instructions.  </w:t>
      </w:r>
    </w:p>
    <w:p w:rsidR="00894B60" w:rsidRDefault="00894B60" w:rsidP="00FF4A40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Responsible to </w:t>
      </w:r>
      <w:proofErr w:type="gramStart"/>
      <w:r>
        <w:rPr>
          <w:rFonts w:eastAsia="Calibri"/>
        </w:rPr>
        <w:t>maintain  portal</w:t>
      </w:r>
      <w:proofErr w:type="gramEnd"/>
      <w:r>
        <w:rPr>
          <w:rFonts w:eastAsia="Calibri"/>
        </w:rPr>
        <w:t xml:space="preserve"> access and support issue resolution with </w:t>
      </w:r>
      <w:proofErr w:type="spellStart"/>
      <w:r w:rsidR="00FC2799">
        <w:rPr>
          <w:rFonts w:eastAsia="Calibri"/>
        </w:rPr>
        <w:t>Prodrive</w:t>
      </w:r>
      <w:proofErr w:type="spellEnd"/>
      <w:r>
        <w:rPr>
          <w:rFonts w:eastAsia="Calibri"/>
        </w:rPr>
        <w:t xml:space="preserve"> portal use.</w:t>
      </w:r>
    </w:p>
    <w:p w:rsidR="00894B60" w:rsidRDefault="00894B60" w:rsidP="00894B60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 Provide std. consumption / demand forecast per Tennant / </w:t>
      </w:r>
      <w:proofErr w:type="spellStart"/>
      <w:r w:rsidR="00FC2799">
        <w:rPr>
          <w:rFonts w:eastAsia="Calibri"/>
        </w:rPr>
        <w:t>Prodrive</w:t>
      </w:r>
      <w:proofErr w:type="spellEnd"/>
      <w:r>
        <w:rPr>
          <w:rFonts w:eastAsia="Calibri"/>
        </w:rPr>
        <w:t xml:space="preserve"> MSA.</w:t>
      </w:r>
    </w:p>
    <w:p w:rsidR="00FF4A40" w:rsidRPr="00894B60" w:rsidRDefault="00894B60" w:rsidP="00894B60">
      <w:pPr>
        <w:pStyle w:val="ListParagraph"/>
        <w:numPr>
          <w:ilvl w:val="1"/>
          <w:numId w:val="29"/>
        </w:numPr>
        <w:rPr>
          <w:rFonts w:eastAsia="Calibri"/>
        </w:rPr>
      </w:pPr>
      <w:r>
        <w:rPr>
          <w:rFonts w:eastAsia="Calibri"/>
        </w:rPr>
        <w:t xml:space="preserve"> Responsible</w:t>
      </w:r>
      <w:r w:rsidR="00FF4A40" w:rsidRPr="00894B60">
        <w:rPr>
          <w:rFonts w:eastAsia="Calibri"/>
        </w:rPr>
        <w:t xml:space="preserve"> </w:t>
      </w:r>
      <w:r>
        <w:rPr>
          <w:rFonts w:eastAsia="Calibri"/>
        </w:rPr>
        <w:t>for all SIM card status activities (</w:t>
      </w:r>
      <w:r w:rsidR="00FF4A40" w:rsidRPr="00894B60">
        <w:rPr>
          <w:rFonts w:eastAsia="Calibri"/>
        </w:rPr>
        <w:t>verify</w:t>
      </w:r>
      <w:r>
        <w:rPr>
          <w:rFonts w:eastAsia="Calibri"/>
        </w:rPr>
        <w:t>, monitor, activate, update etc.)</w:t>
      </w:r>
    </w:p>
    <w:p w:rsidR="00FF4A40" w:rsidRDefault="00FF4A40" w:rsidP="00894B60">
      <w:pPr>
        <w:pStyle w:val="ListParagraph"/>
        <w:ind w:left="360"/>
        <w:rPr>
          <w:rFonts w:eastAsia="Calibri"/>
        </w:rPr>
      </w:pPr>
    </w:p>
    <w:p w:rsidR="00C059F7" w:rsidRDefault="00C059F7" w:rsidP="00FF4A40">
      <w:pPr>
        <w:pStyle w:val="ListParagraph"/>
        <w:ind w:left="792"/>
        <w:rPr>
          <w:rFonts w:eastAsia="Calibri"/>
        </w:rPr>
      </w:pPr>
    </w:p>
    <w:p w:rsidR="004F4698" w:rsidRPr="00894B60" w:rsidRDefault="00894B60" w:rsidP="004F4698">
      <w:pPr>
        <w:pStyle w:val="ListParagraph"/>
        <w:numPr>
          <w:ilvl w:val="0"/>
          <w:numId w:val="29"/>
        </w:numPr>
        <w:rPr>
          <w:rFonts w:eastAsia="Calibri"/>
          <w:b/>
        </w:rPr>
      </w:pPr>
      <w:r w:rsidRPr="00894B60">
        <w:rPr>
          <w:rFonts w:eastAsia="Calibri"/>
          <w:b/>
        </w:rPr>
        <w:t>Financial Summary</w:t>
      </w:r>
    </w:p>
    <w:p w:rsidR="00894B60" w:rsidRDefault="00FC2799" w:rsidP="00894B60">
      <w:pPr>
        <w:pStyle w:val="ListParagraph"/>
        <w:numPr>
          <w:ilvl w:val="1"/>
          <w:numId w:val="29"/>
        </w:numPr>
        <w:rPr>
          <w:rFonts w:eastAsia="Calibri"/>
        </w:rPr>
      </w:pPr>
      <w:proofErr w:type="spellStart"/>
      <w:r>
        <w:rPr>
          <w:rFonts w:eastAsia="Calibri"/>
        </w:rPr>
        <w:t>Prodrive</w:t>
      </w:r>
      <w:proofErr w:type="spellEnd"/>
      <w:r>
        <w:rPr>
          <w:rFonts w:eastAsia="Calibri"/>
        </w:rPr>
        <w:t xml:space="preserve"> </w:t>
      </w:r>
      <w:r w:rsidR="00894B60">
        <w:rPr>
          <w:rFonts w:eastAsia="Calibri"/>
        </w:rPr>
        <w:t>will purcha</w:t>
      </w:r>
      <w:r w:rsidR="00F52C88">
        <w:rPr>
          <w:rFonts w:eastAsia="Calibri"/>
        </w:rPr>
        <w:t xml:space="preserve">se SIM cards through Tennant Portal.  The ship to address will be specified by </w:t>
      </w:r>
      <w:proofErr w:type="spellStart"/>
      <w:r>
        <w:rPr>
          <w:rFonts w:eastAsia="Calibri"/>
        </w:rPr>
        <w:t>Prodrive</w:t>
      </w:r>
      <w:proofErr w:type="spellEnd"/>
      <w:r w:rsidR="00F52C88">
        <w:rPr>
          <w:rFonts w:eastAsia="Calibri"/>
        </w:rPr>
        <w:t>.  AT&amp;T will invoice Tennant for the SIM card purchase</w:t>
      </w:r>
    </w:p>
    <w:p w:rsidR="00F52C88" w:rsidRDefault="00FC2799" w:rsidP="00894B60">
      <w:pPr>
        <w:pStyle w:val="ListParagraph"/>
        <w:numPr>
          <w:ilvl w:val="1"/>
          <w:numId w:val="29"/>
        </w:numPr>
        <w:rPr>
          <w:rFonts w:eastAsia="Calibri"/>
        </w:rPr>
      </w:pPr>
      <w:proofErr w:type="spellStart"/>
      <w:r>
        <w:rPr>
          <w:rFonts w:eastAsia="Calibri"/>
        </w:rPr>
        <w:t>Prodrive</w:t>
      </w:r>
      <w:proofErr w:type="spellEnd"/>
      <w:r w:rsidR="00F52C88">
        <w:rPr>
          <w:rFonts w:eastAsia="Calibri"/>
        </w:rPr>
        <w:t xml:space="preserve"> will purchase the SIM cards at zero cost.  Tennant will pay AT&amp;T SIM card purchase invoices.  </w:t>
      </w:r>
      <w:proofErr w:type="spellStart"/>
      <w:r>
        <w:rPr>
          <w:rFonts w:eastAsia="Calibri"/>
        </w:rPr>
        <w:t>Prodrive</w:t>
      </w:r>
      <w:proofErr w:type="spellEnd"/>
      <w:r w:rsidR="00F52C88">
        <w:rPr>
          <w:rFonts w:eastAsia="Calibri"/>
        </w:rPr>
        <w:t xml:space="preserve"> will maintain SIM card material cost of $0 in the finished assembly (</w:t>
      </w:r>
      <w:r>
        <w:rPr>
          <w:rFonts w:eastAsia="Calibri"/>
        </w:rPr>
        <w:t>1261317 &amp; 1256676</w:t>
      </w:r>
      <w:r w:rsidR="00F52C88">
        <w:rPr>
          <w:rFonts w:eastAsia="Calibri"/>
        </w:rPr>
        <w:t xml:space="preserve">) std. cost to Tennant. </w:t>
      </w:r>
    </w:p>
    <w:p w:rsidR="007926EF" w:rsidRPr="009F3CD3" w:rsidRDefault="007926EF" w:rsidP="009F3CD3">
      <w:pPr>
        <w:spacing w:after="200" w:line="276" w:lineRule="auto"/>
        <w:rPr>
          <w:rFonts w:eastAsia="Calibri"/>
        </w:rPr>
      </w:pPr>
    </w:p>
    <w:sectPr w:rsidR="007926EF" w:rsidRPr="009F3CD3" w:rsidSect="006D6A25">
      <w:headerReference w:type="default" r:id="rId12"/>
      <w:footerReference w:type="default" r:id="rId13"/>
      <w:pgSz w:w="12240" w:h="15840"/>
      <w:pgMar w:top="108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5A" w:rsidRDefault="00611E5A" w:rsidP="00A86670">
      <w:r>
        <w:separator/>
      </w:r>
    </w:p>
  </w:endnote>
  <w:endnote w:type="continuationSeparator" w:id="0">
    <w:p w:rsidR="00611E5A" w:rsidRDefault="00611E5A" w:rsidP="00A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72" w:rsidRDefault="007B6272">
    <w:pPr>
      <w:pStyle w:val="Footer"/>
    </w:pPr>
    <w:r w:rsidRPr="00561E1C">
      <w:rPr>
        <w:rFonts w:ascii="Calibri" w:hAnsi="Calibri"/>
        <w:noProof/>
        <w:color w:val="595959" w:themeColor="text1" w:themeTint="A6"/>
        <w:sz w:val="18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0E139E" wp14:editId="0BB7D0F5">
              <wp:simplePos x="0" y="0"/>
              <wp:positionH relativeFrom="margin">
                <wp:posOffset>-190500</wp:posOffset>
              </wp:positionH>
              <wp:positionV relativeFrom="paragraph">
                <wp:posOffset>108585</wp:posOffset>
              </wp:positionV>
              <wp:extent cx="5765800" cy="342900"/>
              <wp:effectExtent l="0" t="0" r="635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42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38000">
                            <a:srgbClr val="0099CC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6272" w:rsidRPr="002C37F9" w:rsidRDefault="007B6272" w:rsidP="0089499B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30"/>
                              <w:sz w:val="18"/>
                              <w:szCs w:val="18"/>
                            </w:rPr>
                          </w:pPr>
                          <w:r w:rsidRPr="002C37F9"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30"/>
                              <w:sz w:val="18"/>
                              <w:szCs w:val="18"/>
                            </w:rPr>
                            <w:t>REINVENT HOW THE WORLD CLEANS</w:t>
                          </w:r>
                        </w:p>
                        <w:p w:rsidR="007B6272" w:rsidRPr="00561E1C" w:rsidRDefault="007B6272" w:rsidP="0089499B">
                          <w:pPr>
                            <w:rPr>
                              <w:rFonts w:ascii="Calibri" w:hAnsi="Calibr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E13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5pt;margin-top:8.55pt;width:4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" fillcolor="#f6f8fb [180]" stroked="f">
              <v:fill color2="#09c" rotate="t" angle="270" colors="0 #f6f9fc;24904f #09c" focus="100%" type="gradient"/>
              <v:textbox inset="14.4pt,7.2pt,14.4pt,7.2pt">
                <w:txbxContent>
                  <w:p w:rsidR="007B6272" w:rsidRPr="002C37F9" w:rsidRDefault="007B6272" w:rsidP="0089499B">
                    <w:pPr>
                      <w:rPr>
                        <w:rFonts w:ascii="Calibri" w:hAnsi="Calibri"/>
                        <w:b/>
                        <w:color w:val="FFFFFF" w:themeColor="background1"/>
                        <w:spacing w:val="30"/>
                        <w:sz w:val="18"/>
                        <w:szCs w:val="18"/>
                      </w:rPr>
                    </w:pPr>
                    <w:r w:rsidRPr="002C37F9">
                      <w:rPr>
                        <w:rFonts w:ascii="Calibri" w:hAnsi="Calibri"/>
                        <w:b/>
                        <w:color w:val="FFFFFF" w:themeColor="background1"/>
                        <w:spacing w:val="30"/>
                        <w:sz w:val="18"/>
                        <w:szCs w:val="18"/>
                      </w:rPr>
                      <w:t>REINVENT HOW THE WORLD CLEANS</w:t>
                    </w:r>
                  </w:p>
                  <w:p w:rsidR="007B6272" w:rsidRPr="00561E1C" w:rsidRDefault="007B6272" w:rsidP="0089499B">
                    <w:pPr>
                      <w:rPr>
                        <w:rFonts w:ascii="Calibri" w:hAnsi="Calibri"/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hAnsi="Calibri"/>
        <w:noProof/>
        <w:color w:val="595959" w:themeColor="text1" w:themeTint="A6"/>
        <w:sz w:val="18"/>
        <w:szCs w:val="20"/>
      </w:rPr>
      <w:drawing>
        <wp:anchor distT="0" distB="0" distL="114300" distR="114300" simplePos="0" relativeHeight="251657728" behindDoc="0" locked="0" layoutInCell="1" allowOverlap="1" wp14:anchorId="39905ECF" wp14:editId="4AA6DE10">
          <wp:simplePos x="0" y="0"/>
          <wp:positionH relativeFrom="column">
            <wp:posOffset>5715000</wp:posOffset>
          </wp:positionH>
          <wp:positionV relativeFrom="page">
            <wp:posOffset>9555480</wp:posOffset>
          </wp:positionV>
          <wp:extent cx="1352550" cy="3051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 a creator of new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05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5A" w:rsidRDefault="00611E5A" w:rsidP="00A86670">
      <w:r>
        <w:separator/>
      </w:r>
    </w:p>
  </w:footnote>
  <w:footnote w:type="continuationSeparator" w:id="0">
    <w:p w:rsidR="00611E5A" w:rsidRDefault="00611E5A" w:rsidP="00A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272" w:rsidRDefault="007B6272">
    <w:pPr>
      <w:pStyle w:val="Header"/>
    </w:pPr>
    <w:r w:rsidRPr="00561E1C">
      <w:rPr>
        <w:rFonts w:ascii="Calibri" w:hAnsi="Calibri"/>
        <w:noProof/>
        <w:color w:val="808080" w:themeColor="background1" w:themeShade="80"/>
        <w:sz w:val="28"/>
      </w:rPr>
      <w:drawing>
        <wp:anchor distT="0" distB="0" distL="114300" distR="114300" simplePos="0" relativeHeight="251661312" behindDoc="0" locked="0" layoutInCell="1" allowOverlap="1" wp14:anchorId="7DFC4833" wp14:editId="7EA1EE6A">
          <wp:simplePos x="0" y="0"/>
          <wp:positionH relativeFrom="column">
            <wp:posOffset>5829300</wp:posOffset>
          </wp:positionH>
          <wp:positionV relativeFrom="paragraph">
            <wp:posOffset>-228600</wp:posOffset>
          </wp:positionV>
          <wp:extent cx="1170305" cy="429895"/>
          <wp:effectExtent l="0" t="0" r="0" b="1905"/>
          <wp:wrapNone/>
          <wp:docPr id="3" name="Picture 3" descr="tdrive$:MKTG:_Creative Art Files:Resources:Logos:1_Tennant logos:Tennant Oval logo:Tennant logo_teal oval_H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rive$:MKTG:_Creative Art Files:Resources:Logos:1_Tennant logos:Tennant Oval logo:Tennant logo_teal oval_HR-rgb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D316E7"/>
    <w:multiLevelType w:val="multilevel"/>
    <w:tmpl w:val="A4F27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D7D82"/>
    <w:multiLevelType w:val="hybridMultilevel"/>
    <w:tmpl w:val="8F5A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6986"/>
    <w:multiLevelType w:val="hybridMultilevel"/>
    <w:tmpl w:val="F404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6F7E"/>
    <w:multiLevelType w:val="multilevel"/>
    <w:tmpl w:val="16064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D34E57"/>
    <w:multiLevelType w:val="hybridMultilevel"/>
    <w:tmpl w:val="5790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92EBF"/>
    <w:multiLevelType w:val="hybridMultilevel"/>
    <w:tmpl w:val="4612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669"/>
    <w:multiLevelType w:val="multilevel"/>
    <w:tmpl w:val="B978D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21F5973"/>
    <w:multiLevelType w:val="hybridMultilevel"/>
    <w:tmpl w:val="29A0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2B23"/>
    <w:multiLevelType w:val="hybridMultilevel"/>
    <w:tmpl w:val="29BA1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60DEB"/>
    <w:multiLevelType w:val="hybridMultilevel"/>
    <w:tmpl w:val="317E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4411A4"/>
    <w:multiLevelType w:val="hybridMultilevel"/>
    <w:tmpl w:val="DAF2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078F0"/>
    <w:multiLevelType w:val="hybridMultilevel"/>
    <w:tmpl w:val="6F38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C37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0075D4"/>
    <w:multiLevelType w:val="hybridMultilevel"/>
    <w:tmpl w:val="AD9E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802AB"/>
    <w:multiLevelType w:val="hybridMultilevel"/>
    <w:tmpl w:val="93468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3580E"/>
    <w:multiLevelType w:val="hybridMultilevel"/>
    <w:tmpl w:val="11E4D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075EC"/>
    <w:multiLevelType w:val="multilevel"/>
    <w:tmpl w:val="F5BA63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D3F5810"/>
    <w:multiLevelType w:val="multilevel"/>
    <w:tmpl w:val="C6CCFCF8"/>
    <w:lvl w:ilvl="0">
      <w:start w:val="1"/>
      <w:numFmt w:val="decimal"/>
      <w:lvlText w:val="%1."/>
      <w:lvlJc w:val="left"/>
      <w:pPr>
        <w:ind w:left="360" w:hanging="360"/>
      </w:pPr>
      <w:rPr>
        <w:sz w:val="25"/>
        <w:szCs w:val="2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515C54"/>
    <w:multiLevelType w:val="multilevel"/>
    <w:tmpl w:val="39E6A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3C3112"/>
    <w:multiLevelType w:val="multilevel"/>
    <w:tmpl w:val="39E6A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5532D5"/>
    <w:multiLevelType w:val="hybridMultilevel"/>
    <w:tmpl w:val="B716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23CE"/>
    <w:multiLevelType w:val="hybridMultilevel"/>
    <w:tmpl w:val="AF9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2D2A"/>
    <w:multiLevelType w:val="hybridMultilevel"/>
    <w:tmpl w:val="DC06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1535E"/>
    <w:multiLevelType w:val="hybridMultilevel"/>
    <w:tmpl w:val="0200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53916"/>
    <w:multiLevelType w:val="multilevel"/>
    <w:tmpl w:val="791220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A70ED2"/>
    <w:multiLevelType w:val="hybridMultilevel"/>
    <w:tmpl w:val="52F6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D7F30"/>
    <w:multiLevelType w:val="hybridMultilevel"/>
    <w:tmpl w:val="AE22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60E43"/>
    <w:multiLevelType w:val="hybridMultilevel"/>
    <w:tmpl w:val="8474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604FF"/>
    <w:multiLevelType w:val="hybridMultilevel"/>
    <w:tmpl w:val="A3B00E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6B4E0C"/>
    <w:multiLevelType w:val="hybridMultilevel"/>
    <w:tmpl w:val="E3C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C6F25"/>
    <w:multiLevelType w:val="multilevel"/>
    <w:tmpl w:val="2578E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86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C06373"/>
    <w:multiLevelType w:val="multilevel"/>
    <w:tmpl w:val="39E6A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0"/>
  </w:num>
  <w:num w:numId="5">
    <w:abstractNumId w:val="18"/>
  </w:num>
  <w:num w:numId="6">
    <w:abstractNumId w:val="17"/>
  </w:num>
  <w:num w:numId="7">
    <w:abstractNumId w:val="20"/>
  </w:num>
  <w:num w:numId="8">
    <w:abstractNumId w:val="19"/>
  </w:num>
  <w:num w:numId="9">
    <w:abstractNumId w:val="32"/>
  </w:num>
  <w:num w:numId="10">
    <w:abstractNumId w:val="30"/>
  </w:num>
  <w:num w:numId="11">
    <w:abstractNumId w:val="3"/>
  </w:num>
  <w:num w:numId="12">
    <w:abstractNumId w:val="21"/>
  </w:num>
  <w:num w:numId="13">
    <w:abstractNumId w:val="10"/>
  </w:num>
  <w:num w:numId="14">
    <w:abstractNumId w:val="4"/>
  </w:num>
  <w:num w:numId="15">
    <w:abstractNumId w:val="29"/>
  </w:num>
  <w:num w:numId="16">
    <w:abstractNumId w:val="5"/>
  </w:num>
  <w:num w:numId="17">
    <w:abstractNumId w:val="1"/>
  </w:num>
  <w:num w:numId="18">
    <w:abstractNumId w:val="6"/>
  </w:num>
  <w:num w:numId="19">
    <w:abstractNumId w:val="27"/>
  </w:num>
  <w:num w:numId="20">
    <w:abstractNumId w:val="24"/>
  </w:num>
  <w:num w:numId="21">
    <w:abstractNumId w:val="16"/>
  </w:num>
  <w:num w:numId="22">
    <w:abstractNumId w:val="22"/>
  </w:num>
  <w:num w:numId="23">
    <w:abstractNumId w:val="15"/>
  </w:num>
  <w:num w:numId="24">
    <w:abstractNumId w:val="11"/>
  </w:num>
  <w:num w:numId="25">
    <w:abstractNumId w:val="2"/>
  </w:num>
  <w:num w:numId="26">
    <w:abstractNumId w:val="13"/>
  </w:num>
  <w:num w:numId="27">
    <w:abstractNumId w:val="14"/>
  </w:num>
  <w:num w:numId="28">
    <w:abstractNumId w:val="28"/>
  </w:num>
  <w:num w:numId="29">
    <w:abstractNumId w:val="31"/>
  </w:num>
  <w:num w:numId="30">
    <w:abstractNumId w:val="26"/>
  </w:num>
  <w:num w:numId="31">
    <w:abstractNumId w:val="23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70"/>
    <w:rsid w:val="00012AEA"/>
    <w:rsid w:val="00013976"/>
    <w:rsid w:val="0004032A"/>
    <w:rsid w:val="0005689C"/>
    <w:rsid w:val="00070297"/>
    <w:rsid w:val="000D3F06"/>
    <w:rsid w:val="000E6E69"/>
    <w:rsid w:val="000F0E84"/>
    <w:rsid w:val="00125DA1"/>
    <w:rsid w:val="00151F11"/>
    <w:rsid w:val="00174A05"/>
    <w:rsid w:val="00177826"/>
    <w:rsid w:val="0019113F"/>
    <w:rsid w:val="0019289D"/>
    <w:rsid w:val="001E6845"/>
    <w:rsid w:val="001F44CA"/>
    <w:rsid w:val="001F6728"/>
    <w:rsid w:val="002004CC"/>
    <w:rsid w:val="00201F0E"/>
    <w:rsid w:val="00206635"/>
    <w:rsid w:val="0021063F"/>
    <w:rsid w:val="00211823"/>
    <w:rsid w:val="002462A5"/>
    <w:rsid w:val="00253AD3"/>
    <w:rsid w:val="00260E27"/>
    <w:rsid w:val="00267456"/>
    <w:rsid w:val="00277D01"/>
    <w:rsid w:val="00284E4C"/>
    <w:rsid w:val="002A656C"/>
    <w:rsid w:val="002C1DCE"/>
    <w:rsid w:val="002C37F9"/>
    <w:rsid w:val="002E1676"/>
    <w:rsid w:val="00364EAE"/>
    <w:rsid w:val="003665CB"/>
    <w:rsid w:val="0038782F"/>
    <w:rsid w:val="003A2BDE"/>
    <w:rsid w:val="003A75B6"/>
    <w:rsid w:val="003B2EE3"/>
    <w:rsid w:val="003D15C2"/>
    <w:rsid w:val="00416EDD"/>
    <w:rsid w:val="0044157E"/>
    <w:rsid w:val="004570CE"/>
    <w:rsid w:val="00470DDB"/>
    <w:rsid w:val="004851ED"/>
    <w:rsid w:val="004B6122"/>
    <w:rsid w:val="004D3918"/>
    <w:rsid w:val="004E6463"/>
    <w:rsid w:val="004F4698"/>
    <w:rsid w:val="00516C5B"/>
    <w:rsid w:val="00545FD0"/>
    <w:rsid w:val="00561E1C"/>
    <w:rsid w:val="005731B2"/>
    <w:rsid w:val="0058103F"/>
    <w:rsid w:val="005D632D"/>
    <w:rsid w:val="005F2ACB"/>
    <w:rsid w:val="00611E5A"/>
    <w:rsid w:val="00625FC5"/>
    <w:rsid w:val="0063703D"/>
    <w:rsid w:val="00637426"/>
    <w:rsid w:val="006453FA"/>
    <w:rsid w:val="00654CDC"/>
    <w:rsid w:val="006733FE"/>
    <w:rsid w:val="006A01AA"/>
    <w:rsid w:val="006A4497"/>
    <w:rsid w:val="006A5718"/>
    <w:rsid w:val="006D3930"/>
    <w:rsid w:val="006D5D55"/>
    <w:rsid w:val="006D6A25"/>
    <w:rsid w:val="00717A61"/>
    <w:rsid w:val="007352A7"/>
    <w:rsid w:val="007402B8"/>
    <w:rsid w:val="007467CC"/>
    <w:rsid w:val="00760E9F"/>
    <w:rsid w:val="0077303A"/>
    <w:rsid w:val="00773AB6"/>
    <w:rsid w:val="0078621C"/>
    <w:rsid w:val="007926EF"/>
    <w:rsid w:val="007B6272"/>
    <w:rsid w:val="007C1554"/>
    <w:rsid w:val="007C71B7"/>
    <w:rsid w:val="007D4ADA"/>
    <w:rsid w:val="00800E7F"/>
    <w:rsid w:val="00805D29"/>
    <w:rsid w:val="00815BFD"/>
    <w:rsid w:val="008225AC"/>
    <w:rsid w:val="0082408F"/>
    <w:rsid w:val="00835DD5"/>
    <w:rsid w:val="00844B91"/>
    <w:rsid w:val="00850DAD"/>
    <w:rsid w:val="00855863"/>
    <w:rsid w:val="00861A54"/>
    <w:rsid w:val="00883045"/>
    <w:rsid w:val="0089499B"/>
    <w:rsid w:val="00894B60"/>
    <w:rsid w:val="008A5268"/>
    <w:rsid w:val="008D5ED7"/>
    <w:rsid w:val="008E5002"/>
    <w:rsid w:val="008E7BE3"/>
    <w:rsid w:val="00920D54"/>
    <w:rsid w:val="00930C91"/>
    <w:rsid w:val="0093486E"/>
    <w:rsid w:val="00940FEE"/>
    <w:rsid w:val="00963ABC"/>
    <w:rsid w:val="00987745"/>
    <w:rsid w:val="009A09D9"/>
    <w:rsid w:val="009D457E"/>
    <w:rsid w:val="009F3CD3"/>
    <w:rsid w:val="00A25267"/>
    <w:rsid w:val="00A40057"/>
    <w:rsid w:val="00A404FC"/>
    <w:rsid w:val="00A435F2"/>
    <w:rsid w:val="00A86670"/>
    <w:rsid w:val="00AE7CDC"/>
    <w:rsid w:val="00B02F3A"/>
    <w:rsid w:val="00B27A3D"/>
    <w:rsid w:val="00B31876"/>
    <w:rsid w:val="00B447BA"/>
    <w:rsid w:val="00B54755"/>
    <w:rsid w:val="00B56661"/>
    <w:rsid w:val="00B643C1"/>
    <w:rsid w:val="00B7263A"/>
    <w:rsid w:val="00B95FB5"/>
    <w:rsid w:val="00BA450E"/>
    <w:rsid w:val="00BC248A"/>
    <w:rsid w:val="00BD545D"/>
    <w:rsid w:val="00BF7198"/>
    <w:rsid w:val="00C059F7"/>
    <w:rsid w:val="00C10E9B"/>
    <w:rsid w:val="00C1709F"/>
    <w:rsid w:val="00C23DCA"/>
    <w:rsid w:val="00C430B7"/>
    <w:rsid w:val="00C47797"/>
    <w:rsid w:val="00C5479D"/>
    <w:rsid w:val="00C7648A"/>
    <w:rsid w:val="00CC333E"/>
    <w:rsid w:val="00CC616B"/>
    <w:rsid w:val="00CF658E"/>
    <w:rsid w:val="00D133EB"/>
    <w:rsid w:val="00D62586"/>
    <w:rsid w:val="00D91674"/>
    <w:rsid w:val="00DB17C3"/>
    <w:rsid w:val="00E01226"/>
    <w:rsid w:val="00E33954"/>
    <w:rsid w:val="00E35078"/>
    <w:rsid w:val="00E476A2"/>
    <w:rsid w:val="00E676EE"/>
    <w:rsid w:val="00E936F5"/>
    <w:rsid w:val="00F04704"/>
    <w:rsid w:val="00F427E2"/>
    <w:rsid w:val="00F45A59"/>
    <w:rsid w:val="00F52C88"/>
    <w:rsid w:val="00FB18DD"/>
    <w:rsid w:val="00FB6BF4"/>
    <w:rsid w:val="00FC2799"/>
    <w:rsid w:val="00FE3F9D"/>
    <w:rsid w:val="00FF44EA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C424AE"/>
  <w15:docId w15:val="{C40B6A0B-56E1-42CB-ABD5-165BD5A0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DD5"/>
  </w:style>
  <w:style w:type="paragraph" w:styleId="Heading1">
    <w:name w:val="heading 1"/>
    <w:basedOn w:val="Normal"/>
    <w:next w:val="Normal"/>
    <w:link w:val="Heading1Char"/>
    <w:qFormat/>
    <w:rsid w:val="00AE7CDC"/>
    <w:pPr>
      <w:keepNext/>
      <w:keepLines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 w:val="25"/>
      <w:szCs w:val="20"/>
    </w:rPr>
  </w:style>
  <w:style w:type="paragraph" w:styleId="Heading2">
    <w:name w:val="heading 2"/>
    <w:basedOn w:val="Normal"/>
    <w:next w:val="Normal"/>
    <w:link w:val="Heading2Char"/>
    <w:qFormat/>
    <w:rsid w:val="00AE7CDC"/>
    <w:pPr>
      <w:keepNext/>
      <w:spacing w:before="240" w:after="60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AE7CDC"/>
    <w:pPr>
      <w:keepNext/>
      <w:spacing w:before="240" w:after="60"/>
      <w:jc w:val="both"/>
      <w:outlineLvl w:val="2"/>
    </w:pPr>
    <w:rPr>
      <w:rFonts w:ascii="Arial" w:eastAsia="Times New Roman" w:hAnsi="Arial" w:cs="Times New Roman"/>
    </w:rPr>
  </w:style>
  <w:style w:type="paragraph" w:styleId="Heading4">
    <w:name w:val="heading 4"/>
    <w:basedOn w:val="Normal"/>
    <w:next w:val="Normal"/>
    <w:link w:val="Heading4Char"/>
    <w:qFormat/>
    <w:rsid w:val="00AE7CDC"/>
    <w:pPr>
      <w:keepNext/>
      <w:spacing w:before="240" w:after="60"/>
      <w:jc w:val="both"/>
      <w:outlineLvl w:val="3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E7CDC"/>
    <w:pPr>
      <w:spacing w:before="240" w:after="60"/>
      <w:jc w:val="both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AE7CDC"/>
    <w:pPr>
      <w:spacing w:before="240" w:after="60"/>
      <w:jc w:val="both"/>
      <w:outlineLvl w:val="5"/>
    </w:pPr>
    <w:rPr>
      <w:rFonts w:ascii="Arial" w:eastAsia="Times New Roman" w:hAnsi="Arial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AE7CDC"/>
    <w:pP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AE7CDC"/>
    <w:pP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E7CDC"/>
    <w:p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6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6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670"/>
  </w:style>
  <w:style w:type="paragraph" w:styleId="Footer">
    <w:name w:val="footer"/>
    <w:basedOn w:val="Normal"/>
    <w:link w:val="FooterChar"/>
    <w:uiPriority w:val="99"/>
    <w:unhideWhenUsed/>
    <w:rsid w:val="00A866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670"/>
  </w:style>
  <w:style w:type="paragraph" w:styleId="ListParagraph">
    <w:name w:val="List Paragraph"/>
    <w:basedOn w:val="Normal"/>
    <w:uiPriority w:val="34"/>
    <w:qFormat/>
    <w:rsid w:val="006D6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A25"/>
    <w:rPr>
      <w:color w:val="0000FF" w:themeColor="hyperlink"/>
      <w:u w:val="single"/>
    </w:rPr>
  </w:style>
  <w:style w:type="table" w:styleId="TableGrid">
    <w:name w:val="Table Grid"/>
    <w:basedOn w:val="TableNormal"/>
    <w:rsid w:val="0004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04032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4032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99"/>
    <w:rsid w:val="000403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0403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E6463"/>
    <w:rPr>
      <w:color w:val="808080"/>
    </w:rPr>
  </w:style>
  <w:style w:type="paragraph" w:styleId="TOC1">
    <w:name w:val="toc 1"/>
    <w:basedOn w:val="Normal"/>
    <w:next w:val="Normal"/>
    <w:autoRedefine/>
    <w:uiPriority w:val="39"/>
    <w:qFormat/>
    <w:rsid w:val="00AE7CDC"/>
    <w:pPr>
      <w:spacing w:before="120" w:after="120"/>
    </w:pPr>
    <w:rPr>
      <w:rFonts w:ascii="Arial" w:eastAsia="Times New Roman" w:hAnsi="Arial" w:cs="Times New Roman"/>
      <w:b/>
      <w:bCs/>
      <w:caps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E7CDC"/>
    <w:rPr>
      <w:rFonts w:ascii="Arial" w:eastAsia="Times New Roman" w:hAnsi="Arial" w:cs="Times New Roman"/>
      <w:b/>
      <w:kern w:val="28"/>
      <w:sz w:val="25"/>
      <w:szCs w:val="20"/>
    </w:rPr>
  </w:style>
  <w:style w:type="character" w:customStyle="1" w:styleId="Heading2Char">
    <w:name w:val="Heading 2 Char"/>
    <w:basedOn w:val="DefaultParagraphFont"/>
    <w:link w:val="Heading2"/>
    <w:rsid w:val="00AE7CDC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E7CDC"/>
    <w:rPr>
      <w:rFonts w:ascii="Arial" w:eastAsia="Times New Roman" w:hAnsi="Arial" w:cs="Times New Roman"/>
    </w:rPr>
  </w:style>
  <w:style w:type="character" w:customStyle="1" w:styleId="Heading4Char">
    <w:name w:val="Heading 4 Char"/>
    <w:basedOn w:val="DefaultParagraphFont"/>
    <w:link w:val="Heading4"/>
    <w:rsid w:val="00AE7CDC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E7CDC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AE7CDC"/>
    <w:rPr>
      <w:rFonts w:ascii="Arial" w:eastAsia="Times New Roman" w:hAnsi="Arial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AE7CD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E7CD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E7CDC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rsid w:val="00AE7CDC"/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AE7CDC"/>
    <w:rPr>
      <w:rFonts w:ascii="Arial" w:eastAsia="Times New Roman" w:hAnsi="Arial" w:cs="Times New Roman"/>
      <w:i/>
      <w:szCs w:val="20"/>
    </w:rPr>
  </w:style>
  <w:style w:type="character" w:customStyle="1" w:styleId="MessageHeaderLabel">
    <w:name w:val="Message Header Label"/>
    <w:rsid w:val="00AE7CD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E7CDC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table" w:styleId="ColorfulList-Accent2">
    <w:name w:val="Colorful List Accent 2"/>
    <w:basedOn w:val="TableNormal"/>
    <w:uiPriority w:val="72"/>
    <w:rsid w:val="00AE7CDC"/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E7C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E7CDC"/>
    <w:rPr>
      <w:rFonts w:asciiTheme="majorHAnsi" w:eastAsiaTheme="majorEastAsia" w:hAnsiTheme="majorHAnsi" w:cstheme="majorBidi"/>
      <w:shd w:val="pct20" w:color="auto" w:fill="auto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25FC5"/>
    <w:pPr>
      <w:spacing w:after="100"/>
      <w:ind w:left="960"/>
    </w:pPr>
  </w:style>
  <w:style w:type="character" w:styleId="UnresolvedMention">
    <w:name w:val="Unresolved Mention"/>
    <w:basedOn w:val="DefaultParagraphFont"/>
    <w:uiPriority w:val="99"/>
    <w:semiHidden/>
    <w:unhideWhenUsed/>
    <w:rsid w:val="004F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mcontrolcenter.wireless.att.com/provision/ui/m2mhome/m2mhom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996F43096F4EB162F021373EA907" ma:contentTypeVersion="4" ma:contentTypeDescription="Create a new document." ma:contentTypeScope="" ma:versionID="4dc68cd3c5908937289415fde3cd1888">
  <xsd:schema xmlns:xsd="http://www.w3.org/2001/XMLSchema" xmlns:xs="http://www.w3.org/2001/XMLSchema" xmlns:p="http://schemas.microsoft.com/office/2006/metadata/properties" xmlns:ns2="a34b554d-fde0-4200-94a1-08f230035bbc" xmlns:ns3="http://schemas.microsoft.com/sharepoint/v4" targetNamespace="http://schemas.microsoft.com/office/2006/metadata/properties" ma:root="true" ma:fieldsID="1076663d9b5087559136b9de9f0af2b6" ns2:_="" ns3:_="">
    <xsd:import namespace="a34b554d-fde0-4200-94a1-08f230035bb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ile_x0020_Type0" minOccurs="0"/>
                <xsd:element ref="ns2:Brand" minOccurs="0"/>
                <xsd:element ref="ns2:Languag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554d-fde0-4200-94a1-08f230035bbc" elementFormDefault="qualified">
    <xsd:import namespace="http://schemas.microsoft.com/office/2006/documentManagement/types"/>
    <xsd:import namespace="http://schemas.microsoft.com/office/infopath/2007/PartnerControls"/>
    <xsd:element name="File_x0020_Type0" ma:index="8" nillable="true" ma:displayName="File Type" ma:format="Dropdown" ma:internalName="File_x0020_Type0">
      <xsd:simpleType>
        <xsd:restriction base="dms:Choice">
          <xsd:enumeration value="Biography"/>
          <xsd:enumeration value="Powerpoint"/>
          <xsd:enumeration value="Email Signature"/>
          <xsd:enumeration value="Letterhead"/>
          <xsd:enumeration value="Fact Sheets"/>
          <xsd:enumeration value="Policy"/>
          <xsd:enumeration value="Video"/>
          <xsd:enumeration value="Creators of New"/>
        </xsd:restriction>
      </xsd:simpleType>
    </xsd:element>
    <xsd:element name="Brand" ma:index="9" nillable="true" ma:displayName="Brand" ma:format="Dropdown" ma:internalName="Brand">
      <xsd:simpleType>
        <xsd:restriction base="dms:Choice">
          <xsd:enumeration value="Tennant"/>
          <xsd:enumeration value="Nobles"/>
          <xsd:enumeration value="Orbio"/>
          <xsd:enumeration value="Alfa"/>
          <xsd:enumeration value="Green Machines"/>
        </xsd:restriction>
      </xsd:simpleType>
    </xsd:element>
    <xsd:element name="Language" ma:index="10" nillable="true" ma:displayName="Language" ma:format="Dropdown" ma:internalName="Language">
      <xsd:simpleType>
        <xsd:restriction base="dms:Choice">
          <xsd:enumeration value="English"/>
          <xsd:enumeration value="Dutch"/>
          <xsd:enumeration value="German"/>
          <xsd:enumeration value="Spanish"/>
          <xsd:enumeration value="French"/>
          <xsd:enumeration value="Japanese"/>
          <xsd:enumeration value="Portuguese"/>
          <xsd:enumeration value="Chine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a34b554d-fde0-4200-94a1-08f230035bbc">English</Language>
    <File_x0020_Type0 xmlns="a34b554d-fde0-4200-94a1-08f230035bbc">Creators of New</File_x0020_Type0>
    <IconOverlay xmlns="http://schemas.microsoft.com/sharepoint/v4" xsi:nil="true"/>
    <Brand xmlns="a34b554d-fde0-4200-94a1-08f230035bbc">Tennant</Bran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784B72-4281-4C69-8330-34A8768AE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b554d-fde0-4200-94a1-08f230035bb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E8CC3-9EF6-40D4-B2A9-35541D794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450EC9-4EFB-4C22-9DB2-5C7AADF9DF94}">
  <ds:schemaRefs>
    <ds:schemaRef ds:uri="http://schemas.microsoft.com/office/2006/metadata/properties"/>
    <ds:schemaRef ds:uri="http://schemas.microsoft.com/office/infopath/2007/PartnerControls"/>
    <ds:schemaRef ds:uri="a34b554d-fde0-4200-94a1-08f230035bb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ACBED92-E03E-4F33-AFDD-465B8FB5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</dc:creator>
  <cp:keywords/>
  <dc:description/>
  <cp:lastModifiedBy>Daggett, Stacy</cp:lastModifiedBy>
  <cp:revision>2</cp:revision>
  <dcterms:created xsi:type="dcterms:W3CDTF">2023-06-08T14:00:00Z</dcterms:created>
  <dcterms:modified xsi:type="dcterms:W3CDTF">2023-06-08T14:00:00Z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0x010100541E996F43096F4EB162F021373EA907</vt:lpwstr>
  </property>
</Properties>
</file>